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A5EE5AD"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w:t>
      </w:r>
      <w:r w:rsidR="003B4652">
        <w:t>7</w:t>
      </w:r>
      <w:r w:rsidR="000F4BE8">
        <w:t>e</w:t>
      </w:r>
      <w:r>
        <w:tab/>
      </w:r>
      <w:r w:rsidR="00D46431">
        <w:tab/>
      </w:r>
      <w:r w:rsidR="000B4E6A" w:rsidRPr="000B4E6A">
        <w:t>R4-2014894</w:t>
      </w:r>
    </w:p>
    <w:p w14:paraId="50DC9730" w14:textId="5594F6BC" w:rsidR="00D309CC" w:rsidRPr="00FD166F" w:rsidRDefault="003B4652" w:rsidP="00D46431">
      <w:pPr>
        <w:pStyle w:val="CH"/>
        <w:tabs>
          <w:tab w:val="clear" w:pos="7920"/>
        </w:tabs>
        <w:rPr>
          <w:b w:val="0"/>
        </w:rPr>
      </w:pPr>
      <w:r w:rsidRPr="003B4652">
        <w:t>Electronic meeting, 2nd – 13th November 2020</w:t>
      </w:r>
      <w:r w:rsidR="00D46431">
        <w:tab/>
      </w:r>
    </w:p>
    <w:p w14:paraId="39A0EE25" w14:textId="77777777" w:rsidR="00D309CC" w:rsidRDefault="00D309CC" w:rsidP="00D309CC">
      <w:pPr>
        <w:tabs>
          <w:tab w:val="left" w:pos="2160"/>
        </w:tabs>
        <w:rPr>
          <w:rFonts w:ascii="Arial" w:hAnsi="Arial" w:cs="Arial"/>
          <w:b/>
        </w:rPr>
      </w:pPr>
    </w:p>
    <w:p w14:paraId="6DDCE159" w14:textId="4AE2AA81" w:rsidR="00D309CC" w:rsidRPr="0008103A" w:rsidRDefault="00D309CC" w:rsidP="00D309CC">
      <w:pPr>
        <w:pStyle w:val="CH"/>
        <w:rPr>
          <w:b w:val="0"/>
        </w:rPr>
      </w:pPr>
      <w:r w:rsidRPr="0008103A">
        <w:t>Agenda item:</w:t>
      </w:r>
      <w:r>
        <w:tab/>
      </w:r>
      <w:r w:rsidR="00112D80" w:rsidRPr="00112D80">
        <w:t>1</w:t>
      </w:r>
      <w:r w:rsidR="005B1F1B">
        <w:t>3</w:t>
      </w:r>
      <w:r w:rsidR="00D46431" w:rsidRPr="00112D80">
        <w:t>.</w:t>
      </w:r>
      <w:r w:rsidR="005B1F1B">
        <w:t>2</w:t>
      </w:r>
      <w:r w:rsidR="00112D80" w:rsidRPr="00112D80">
        <w:t>.</w:t>
      </w:r>
      <w:r w:rsidR="00AF36D6">
        <w:t>4</w:t>
      </w:r>
    </w:p>
    <w:p w14:paraId="4DBE005A" w14:textId="77777777" w:rsidR="00D309CC" w:rsidRPr="0008103A" w:rsidRDefault="00D309CC" w:rsidP="00D309CC">
      <w:pPr>
        <w:pStyle w:val="CH"/>
        <w:rPr>
          <w:b w:val="0"/>
        </w:rPr>
      </w:pPr>
      <w:r>
        <w:t>Source:</w:t>
      </w:r>
      <w:r>
        <w:tab/>
        <w:t>Apple Inc.</w:t>
      </w:r>
    </w:p>
    <w:p w14:paraId="0D2061A1" w14:textId="4960AAEE" w:rsidR="00D309CC" w:rsidRDefault="00D309CC" w:rsidP="00112D80">
      <w:pPr>
        <w:pStyle w:val="CH"/>
        <w:ind w:left="2268" w:hanging="2268"/>
      </w:pPr>
      <w:r w:rsidRPr="0008103A">
        <w:t>Title:</w:t>
      </w:r>
      <w:r w:rsidRPr="0008103A">
        <w:tab/>
      </w:r>
      <w:r w:rsidR="00BA59E2" w:rsidRPr="00BA59E2">
        <w:t xml:space="preserve">Regulatory overview and </w:t>
      </w:r>
      <w:r w:rsidR="007615CA">
        <w:t>status</w:t>
      </w:r>
      <w:r w:rsidR="00BA59E2" w:rsidRPr="00BA59E2">
        <w:t xml:space="preserve"> for the 60GHz frequency range</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bookmarkStart w:id="1" w:name="_GoBack"/>
      <w:bookmarkEnd w:id="1"/>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1AA4BE4F" w:rsidR="008E7986" w:rsidRDefault="00BC4103" w:rsidP="008E7986">
      <w:r>
        <w:t xml:space="preserve">As a </w:t>
      </w:r>
      <w:r w:rsidR="00A37271">
        <w:t>first</w:t>
      </w:r>
      <w:r>
        <w:t xml:space="preserve"> step for enabling even higher frequency ranges for the NR radio system, 3GPP RAN was studying </w:t>
      </w:r>
      <w:r w:rsidR="00A37271">
        <w:t>f</w:t>
      </w:r>
      <w:r>
        <w:t xml:space="preserve">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Furthermore, it has been also agreed that existing waveforms will be re-used thus tasking RAN WG1 and WG4 to study </w:t>
      </w:r>
      <w:r w:rsidR="00BE2A72">
        <w:t>"</w:t>
      </w:r>
      <w:r w:rsidR="00BE2A72" w:rsidRPr="00BE2A72">
        <w:rPr>
          <w:i/>
          <w:iCs/>
        </w:rPr>
        <w:t>of applicable numerology including subcarrier spacing, channel BW (including maximum BW), and their impact to FR2 physical layer design to support system functionality considering practical RF impairments</w:t>
      </w:r>
      <w:r w:rsidR="00BE2A72">
        <w:t>".</w:t>
      </w:r>
      <w:r w:rsidR="00821AEF">
        <w:t xml:space="preserve"> </w:t>
      </w:r>
      <w:r w:rsidR="003E7753">
        <w:t xml:space="preserve"> </w:t>
      </w:r>
      <w:r w:rsidR="008E7986">
        <w:t xml:space="preserve"> </w:t>
      </w:r>
    </w:p>
    <w:p w14:paraId="391572FD" w14:textId="26A2C882" w:rsidR="008E7986" w:rsidRDefault="007615CA" w:rsidP="008E7986">
      <w:r>
        <w:t xml:space="preserve">It is worth mentioning that </w:t>
      </w:r>
      <w:r w:rsidR="00A37271">
        <w:t xml:space="preserve">even though </w:t>
      </w:r>
      <w:r>
        <w:t xml:space="preserve">TR 38.807 was capturing the 60GHz regulatory status in different regions and countries, </w:t>
      </w:r>
      <w:r w:rsidR="00A37271">
        <w:t>it</w:t>
      </w:r>
      <w:r>
        <w:t xml:space="preserve"> was not updated after the corresponding SI was formally completed in December 2019. Since that time more regulatory decisions were made outcome of which it would be preferable to capture to facilitate further discussions on the band plan. </w:t>
      </w:r>
      <w:r w:rsidR="00A37271">
        <w:t>Thus, in</w:t>
      </w:r>
      <w:r w:rsidR="00112D80">
        <w:t xml:space="preserve"> this discussion paper we present our </w:t>
      </w:r>
      <w:r>
        <w:t>input on the regulatory overview and status of the 60GHz frequency range</w:t>
      </w:r>
      <w:r w:rsidR="00E72324">
        <w:t>.</w:t>
      </w:r>
      <w:r w:rsidR="00E72324" w:rsidRPr="00E72324">
        <w:t xml:space="preserve"> </w:t>
      </w:r>
    </w:p>
    <w:p w14:paraId="06E92CC7" w14:textId="24EA7552" w:rsidR="008E7986" w:rsidRDefault="008E7986" w:rsidP="008E7986"/>
    <w:p w14:paraId="51A38D79" w14:textId="0A774E20" w:rsidR="00E84530" w:rsidRDefault="00E84530" w:rsidP="008E7986"/>
    <w:p w14:paraId="1DFCDC12" w14:textId="77777777" w:rsidR="00E84530" w:rsidRDefault="00E84530" w:rsidP="008E7986"/>
    <w:p w14:paraId="7228DA19" w14:textId="312E5FFF" w:rsidR="00E72324" w:rsidRDefault="008E7986" w:rsidP="00112D80">
      <w:pPr>
        <w:pStyle w:val="Heading1"/>
      </w:pPr>
      <w:r>
        <w:t>2</w:t>
      </w:r>
      <w:r>
        <w:tab/>
      </w:r>
      <w:r w:rsidR="00112D80">
        <w:t xml:space="preserve">60GHz </w:t>
      </w:r>
      <w:r w:rsidR="00826E3B">
        <w:t>regulatory status</w:t>
      </w:r>
      <w:r w:rsidR="00E72324" w:rsidRPr="00E72324">
        <w:t xml:space="preserve"> </w:t>
      </w:r>
    </w:p>
    <w:p w14:paraId="63FBAC1F" w14:textId="4FA5C103" w:rsidR="00E84530" w:rsidRDefault="00E84530" w:rsidP="00E84530">
      <w:pPr>
        <w:pStyle w:val="Heading2"/>
      </w:pPr>
      <w:r>
        <w:t>2.1</w:t>
      </w:r>
      <w:r>
        <w:tab/>
        <w:t xml:space="preserve">General overview </w:t>
      </w:r>
    </w:p>
    <w:p w14:paraId="6C97EF4A" w14:textId="783D553B" w:rsidR="00826E3B" w:rsidRDefault="00826E3B" w:rsidP="00826E3B">
      <w:r>
        <w:t xml:space="preserve">As already mentioned in the Introduction part, 3GPP RAN plenary </w:t>
      </w:r>
      <w:r w:rsidR="00A37271">
        <w:t xml:space="preserve">already </w:t>
      </w:r>
      <w:r>
        <w:t xml:space="preserve">conducted a study that aimed at identifying available spectrum in higher frequency ranges, outcome of which was captured in TR 38.807. After that more decisions were made in the regulatory domain, mostly concerning 66-71GHz frequency range, </w:t>
      </w:r>
      <w:r w:rsidR="0034273B">
        <w:t xml:space="preserve">that triggered further regulatory related discussions. </w:t>
      </w:r>
      <w:r>
        <w:t xml:space="preserve">Table 2-1 below presents </w:t>
      </w:r>
      <w:r w:rsidR="0034273B">
        <w:t xml:space="preserve">an overview of </w:t>
      </w:r>
      <w:r>
        <w:t>current licensing situation in different regions and countries for the frequency range of 52.6-71GHz</w:t>
      </w:r>
      <w:r w:rsidR="0034273B">
        <w:t>, which can be summarised as follows:</w:t>
      </w:r>
    </w:p>
    <w:p w14:paraId="743D1BA5" w14:textId="6FA61041" w:rsidR="0034273B" w:rsidRDefault="0034273B" w:rsidP="0034273B">
      <w:pPr>
        <w:pStyle w:val="B1"/>
        <w:numPr>
          <w:ilvl w:val="0"/>
          <w:numId w:val="9"/>
        </w:numPr>
      </w:pPr>
      <w:r w:rsidRPr="0034273B">
        <w:t>the whole 57-71GHz range was opened up for the license exempt mode in some regions and countries</w:t>
      </w:r>
      <w:r>
        <w:t>;</w:t>
      </w:r>
    </w:p>
    <w:p w14:paraId="50CA6F18" w14:textId="015C151C" w:rsidR="0034273B" w:rsidRDefault="0034273B" w:rsidP="0034273B">
      <w:pPr>
        <w:pStyle w:val="B1"/>
        <w:numPr>
          <w:ilvl w:val="0"/>
          <w:numId w:val="9"/>
        </w:numPr>
      </w:pPr>
      <w:r>
        <w:t>some regions and countries only 57-66GHz range is opened up for the license exempt mode;</w:t>
      </w:r>
    </w:p>
    <w:p w14:paraId="060FE7C6" w14:textId="44A293E9" w:rsidR="0034273B" w:rsidRDefault="0034273B" w:rsidP="0034273B">
      <w:pPr>
        <w:pStyle w:val="B1"/>
        <w:numPr>
          <w:ilvl w:val="0"/>
          <w:numId w:val="9"/>
        </w:numPr>
      </w:pPr>
      <w:r>
        <w:t>in China the whole range of 57-71GHz is designated for the licensed based operation;</w:t>
      </w:r>
    </w:p>
    <w:p w14:paraId="01AC2485" w14:textId="6E5C1465" w:rsidR="00E84530" w:rsidRPr="0034273B" w:rsidRDefault="00E84530" w:rsidP="0034273B">
      <w:pPr>
        <w:pStyle w:val="B1"/>
        <w:numPr>
          <w:ilvl w:val="0"/>
          <w:numId w:val="9"/>
        </w:numPr>
      </w:pPr>
      <w:r>
        <w:t xml:space="preserve">it is also worth noting that </w:t>
      </w:r>
      <w:r w:rsidRPr="00E84530">
        <w:t>The World Radiocommunication Conference in 2019 (WRC-19) amended the ITU-R Radio Regulations by providing a global mobile allocation and IMT (including 5G) identification for the 66-71 GHz frequency band</w:t>
      </w:r>
      <w:r>
        <w:t>.</w:t>
      </w:r>
    </w:p>
    <w:p w14:paraId="1BC3D928" w14:textId="77777777" w:rsidR="00826E3B" w:rsidRDefault="00826E3B" w:rsidP="00826E3B"/>
    <w:p w14:paraId="436E8B5A" w14:textId="77777777" w:rsidR="00826E3B" w:rsidRDefault="00826E3B" w:rsidP="00826E3B"/>
    <w:p w14:paraId="46BC3A5C" w14:textId="77777777" w:rsidR="00826E3B" w:rsidRDefault="00826E3B" w:rsidP="00826E3B"/>
    <w:p w14:paraId="3E17B350" w14:textId="081DB1A9" w:rsidR="00826E3B" w:rsidRDefault="00826E3B" w:rsidP="00826E3B">
      <w:pPr>
        <w:pStyle w:val="TF"/>
      </w:pPr>
      <w:r>
        <w:t xml:space="preserve">Table 2-1: </w:t>
      </w:r>
      <w:r w:rsidRPr="00924DAC">
        <w:t xml:space="preserve">Licensing </w:t>
      </w:r>
      <w:r>
        <w:t>mode</w:t>
      </w:r>
      <w:r w:rsidRPr="00924DAC">
        <w:t xml:space="preserve"> for various countries between frequency 52.6GHz and 71GHz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73"/>
        <w:gridCol w:w="727"/>
        <w:gridCol w:w="727"/>
        <w:gridCol w:w="644"/>
        <w:gridCol w:w="599"/>
        <w:gridCol w:w="644"/>
        <w:gridCol w:w="599"/>
        <w:gridCol w:w="644"/>
        <w:gridCol w:w="533"/>
        <w:gridCol w:w="535"/>
        <w:gridCol w:w="538"/>
      </w:tblGrid>
      <w:tr w:rsidR="00826E3B" w:rsidRPr="006B7F83" w14:paraId="41275FF4" w14:textId="77777777" w:rsidTr="003D5D10">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E46E060" w14:textId="77777777" w:rsidR="00826E3B" w:rsidRPr="00432BFF" w:rsidRDefault="00826E3B" w:rsidP="003D5D10">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01A9452" w14:textId="77777777" w:rsidR="00826E3B" w:rsidRPr="00D8580D" w:rsidRDefault="00826E3B" w:rsidP="003D5D10">
            <w:pPr>
              <w:pStyle w:val="TAH"/>
            </w:pPr>
            <w:r w:rsidRPr="00D8580D">
              <w:t>Country</w:t>
            </w:r>
          </w:p>
        </w:tc>
        <w:tc>
          <w:tcPr>
            <w:tcW w:w="686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6B8F8A3" w14:textId="77777777" w:rsidR="00826E3B" w:rsidRPr="006B7F83" w:rsidRDefault="00826E3B" w:rsidP="003D5D10">
            <w:pPr>
              <w:pStyle w:val="TAH"/>
            </w:pPr>
            <w:r w:rsidRPr="006B7F83">
              <w:t>Frequency (GHz)</w:t>
            </w:r>
          </w:p>
        </w:tc>
      </w:tr>
      <w:tr w:rsidR="00826E3B" w:rsidRPr="00135CB4" w14:paraId="4035897B" w14:textId="77777777" w:rsidTr="003D5D10">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1E98EC35" w14:textId="77777777" w:rsidR="00826E3B" w:rsidRPr="00A3436C" w:rsidRDefault="00826E3B" w:rsidP="003D5D10">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BAA7B8D" w14:textId="77777777" w:rsidR="00826E3B" w:rsidRPr="00A3436C" w:rsidRDefault="00826E3B" w:rsidP="003D5D10">
            <w:pPr>
              <w:pStyle w:val="TAH"/>
            </w:pPr>
          </w:p>
        </w:tc>
        <w:tc>
          <w:tcPr>
            <w:tcW w:w="67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652C950" w14:textId="77777777" w:rsidR="00826E3B" w:rsidRPr="00A3436C" w:rsidRDefault="00826E3B" w:rsidP="003D5D10">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101A38F" w14:textId="77777777" w:rsidR="00826E3B" w:rsidRPr="00A3436C" w:rsidRDefault="00826E3B" w:rsidP="003D5D10">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6EC5FD8" w14:textId="77777777" w:rsidR="00826E3B" w:rsidRPr="00A3436C" w:rsidRDefault="00826E3B" w:rsidP="003D5D10">
            <w:pPr>
              <w:pStyle w:val="TAH"/>
            </w:pPr>
            <w:r w:rsidRPr="00A3436C">
              <w:t>55.78-56.9</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525B277" w14:textId="77777777" w:rsidR="00826E3B" w:rsidRPr="00A3436C" w:rsidRDefault="00826E3B" w:rsidP="003D5D10">
            <w:pPr>
              <w:pStyle w:val="TAH"/>
            </w:pPr>
            <w:r w:rsidRPr="00A3436C">
              <w:t>56.9-57</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3C66A2" w14:textId="77777777" w:rsidR="00826E3B" w:rsidRPr="00A3436C" w:rsidRDefault="00826E3B" w:rsidP="003D5D10">
            <w:pPr>
              <w:pStyle w:val="TAH"/>
            </w:pPr>
            <w:r w:rsidRPr="00A3436C">
              <w:t>57-58.2</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23A21CF" w14:textId="77777777" w:rsidR="00826E3B" w:rsidRPr="00A3436C" w:rsidRDefault="00826E3B" w:rsidP="003D5D10">
            <w:pPr>
              <w:pStyle w:val="TAH"/>
            </w:pPr>
            <w:r w:rsidRPr="00A3436C">
              <w:t>58.2-59</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B2FA438" w14:textId="77777777" w:rsidR="00826E3B" w:rsidRPr="00A3436C" w:rsidRDefault="00826E3B" w:rsidP="003D5D10">
            <w:pPr>
              <w:pStyle w:val="TAH"/>
            </w:pPr>
            <w:r w:rsidRPr="00A3436C">
              <w:t>59-59.3</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DBBBDA8" w14:textId="77777777" w:rsidR="00826E3B" w:rsidRPr="00A3436C" w:rsidRDefault="00826E3B" w:rsidP="003D5D10">
            <w:pPr>
              <w:pStyle w:val="TAH"/>
            </w:pPr>
            <w:r w:rsidRPr="00A3436C">
              <w:t>59.3-64</w:t>
            </w:r>
          </w:p>
        </w:tc>
        <w:tc>
          <w:tcPr>
            <w:tcW w:w="53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667A12C" w14:textId="77777777" w:rsidR="00826E3B" w:rsidRPr="00A3436C" w:rsidRDefault="00826E3B" w:rsidP="003D5D10">
            <w:pPr>
              <w:pStyle w:val="TAH"/>
            </w:pPr>
            <w:r w:rsidRPr="00A3436C">
              <w:t>64-65</w:t>
            </w:r>
          </w:p>
        </w:tc>
        <w:tc>
          <w:tcPr>
            <w:tcW w:w="5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09F0D05" w14:textId="77777777" w:rsidR="00826E3B" w:rsidRPr="00A3436C" w:rsidRDefault="00826E3B" w:rsidP="003D5D10">
            <w:pPr>
              <w:pStyle w:val="TAH"/>
            </w:pPr>
            <w:r w:rsidRPr="00A3436C">
              <w:t>65-66</w:t>
            </w:r>
          </w:p>
        </w:tc>
        <w:tc>
          <w:tcPr>
            <w:tcW w:w="53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0C35234" w14:textId="77777777" w:rsidR="00826E3B" w:rsidRPr="00135CB4" w:rsidRDefault="00826E3B" w:rsidP="003D5D10">
            <w:pPr>
              <w:pStyle w:val="TAH"/>
            </w:pPr>
            <w:r w:rsidRPr="00A3436C">
              <w:t>66-71</w:t>
            </w:r>
          </w:p>
        </w:tc>
      </w:tr>
      <w:tr w:rsidR="00826E3B" w:rsidRPr="00A3436C" w14:paraId="02A2A5DC" w14:textId="77777777" w:rsidTr="003D5D10">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60E7FF6F"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3F3F37AA"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Europe/CEPT</w:t>
            </w:r>
          </w:p>
        </w:tc>
        <w:tc>
          <w:tcPr>
            <w:tcW w:w="673" w:type="dxa"/>
            <w:tcBorders>
              <w:top w:val="double" w:sz="4" w:space="0" w:color="auto"/>
              <w:left w:val="single" w:sz="4" w:space="0" w:color="auto"/>
              <w:bottom w:val="single" w:sz="4" w:space="0" w:color="auto"/>
              <w:right w:val="single" w:sz="4" w:space="0" w:color="auto"/>
            </w:tcBorders>
            <w:vAlign w:val="center"/>
          </w:tcPr>
          <w:p w14:paraId="774755A3"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06AD491A"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40DA19BA" w14:textId="77777777" w:rsidR="00826E3B" w:rsidRPr="00A3436C" w:rsidRDefault="00826E3B" w:rsidP="003D5D10">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0A19BFA7" w14:textId="77777777" w:rsidR="00826E3B" w:rsidRPr="00A3436C" w:rsidRDefault="00826E3B" w:rsidP="003D5D10">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18DA1D4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0D2A67A4" w14:textId="77777777" w:rsidTr="003D5D10">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4C193B5"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14C55B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Israel</w:t>
            </w:r>
          </w:p>
        </w:tc>
        <w:tc>
          <w:tcPr>
            <w:tcW w:w="673" w:type="dxa"/>
            <w:tcBorders>
              <w:top w:val="single" w:sz="4" w:space="0" w:color="auto"/>
              <w:left w:val="single" w:sz="4" w:space="0" w:color="auto"/>
              <w:bottom w:val="single" w:sz="4" w:space="0" w:color="auto"/>
              <w:right w:val="single" w:sz="4" w:space="0" w:color="auto"/>
            </w:tcBorders>
            <w:vAlign w:val="center"/>
          </w:tcPr>
          <w:p w14:paraId="6881C2A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5151A5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A1791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EAE50C0"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405CABD8"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E394BFE"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72536E6"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29B7F76A" w14:textId="77777777" w:rsidR="00826E3B" w:rsidRPr="00A3436C" w:rsidRDefault="00826E3B" w:rsidP="003D5D10">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119B5987"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6567B"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46F05645" w14:textId="77777777" w:rsidR="00826E3B" w:rsidRPr="00A3436C" w:rsidRDefault="00826E3B" w:rsidP="003D5D10">
            <w:pPr>
              <w:spacing w:after="0"/>
              <w:jc w:val="center"/>
              <w:rPr>
                <w:rFonts w:ascii="Arial" w:hAnsi="Arial" w:cs="Arial"/>
                <w:sz w:val="18"/>
                <w:szCs w:val="18"/>
              </w:rPr>
            </w:pPr>
          </w:p>
        </w:tc>
      </w:tr>
      <w:tr w:rsidR="00826E3B" w:rsidRPr="00A3436C" w14:paraId="38FD1308" w14:textId="77777777" w:rsidTr="003D5D10">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ED6B880"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7E70C9A2"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South Africa</w:t>
            </w:r>
          </w:p>
        </w:tc>
        <w:tc>
          <w:tcPr>
            <w:tcW w:w="673" w:type="dxa"/>
            <w:tcBorders>
              <w:top w:val="single" w:sz="4" w:space="0" w:color="auto"/>
              <w:left w:val="single" w:sz="4" w:space="0" w:color="auto"/>
              <w:bottom w:val="double" w:sz="4" w:space="0" w:color="auto"/>
              <w:right w:val="single" w:sz="4" w:space="0" w:color="auto"/>
            </w:tcBorders>
            <w:vAlign w:val="center"/>
          </w:tcPr>
          <w:p w14:paraId="47F4427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00A69764"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120A87BC"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double" w:sz="4" w:space="0" w:color="auto"/>
              <w:right w:val="single" w:sz="4" w:space="0" w:color="auto"/>
            </w:tcBorders>
            <w:vAlign w:val="center"/>
          </w:tcPr>
          <w:p w14:paraId="3905F7D0"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3500B49A"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double" w:sz="4" w:space="0" w:color="auto"/>
              <w:right w:val="single" w:sz="4" w:space="0" w:color="auto"/>
            </w:tcBorders>
            <w:vAlign w:val="center"/>
          </w:tcPr>
          <w:p w14:paraId="771D456B" w14:textId="77777777" w:rsidR="00826E3B" w:rsidRPr="00A3436C" w:rsidRDefault="00826E3B" w:rsidP="003D5D10">
            <w:pPr>
              <w:spacing w:after="0"/>
              <w:jc w:val="center"/>
              <w:rPr>
                <w:rFonts w:ascii="Arial" w:hAnsi="Arial" w:cs="Arial"/>
                <w:sz w:val="18"/>
                <w:szCs w:val="18"/>
              </w:rPr>
            </w:pPr>
          </w:p>
        </w:tc>
      </w:tr>
      <w:tr w:rsidR="00826E3B" w:rsidRPr="00A3436C" w14:paraId="09C67E4E" w14:textId="77777777" w:rsidTr="003D5D10">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5FCFE8CE"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6230AF1"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USA</w:t>
            </w:r>
          </w:p>
        </w:tc>
        <w:tc>
          <w:tcPr>
            <w:tcW w:w="673" w:type="dxa"/>
            <w:tcBorders>
              <w:top w:val="double" w:sz="4" w:space="0" w:color="auto"/>
              <w:left w:val="single" w:sz="4" w:space="0" w:color="auto"/>
              <w:bottom w:val="single" w:sz="4" w:space="0" w:color="auto"/>
              <w:right w:val="single" w:sz="4" w:space="0" w:color="auto"/>
            </w:tcBorders>
            <w:vAlign w:val="center"/>
          </w:tcPr>
          <w:p w14:paraId="49678CCD"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49178BB" w14:textId="77777777" w:rsidR="00826E3B" w:rsidRPr="00A3436C" w:rsidRDefault="00826E3B" w:rsidP="003D5D10">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7BD152C1" w14:textId="77777777" w:rsidR="00826E3B" w:rsidRPr="00A3436C" w:rsidRDefault="00826E3B" w:rsidP="003D5D10">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2860B87E" w14:textId="77777777" w:rsidR="00826E3B" w:rsidRPr="00A3436C" w:rsidRDefault="00826E3B" w:rsidP="003D5D10">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21926F59"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57DEAAA4"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EE82911"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7C2387"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Canada</w:t>
            </w:r>
          </w:p>
        </w:tc>
        <w:tc>
          <w:tcPr>
            <w:tcW w:w="673" w:type="dxa"/>
            <w:tcBorders>
              <w:top w:val="single" w:sz="4" w:space="0" w:color="auto"/>
              <w:left w:val="single" w:sz="4" w:space="0" w:color="auto"/>
              <w:bottom w:val="single" w:sz="4" w:space="0" w:color="auto"/>
              <w:right w:val="single" w:sz="4" w:space="0" w:color="auto"/>
            </w:tcBorders>
            <w:vAlign w:val="center"/>
          </w:tcPr>
          <w:p w14:paraId="746BCE4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6D56AA2"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68B7F9"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0668D3E"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9456FCB"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r w:rsidR="00826E3B" w:rsidRPr="00A3436C" w14:paraId="1752707F"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4454500"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074C84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Brazil</w:t>
            </w:r>
          </w:p>
        </w:tc>
        <w:tc>
          <w:tcPr>
            <w:tcW w:w="673" w:type="dxa"/>
            <w:tcBorders>
              <w:top w:val="single" w:sz="4" w:space="0" w:color="auto"/>
              <w:left w:val="single" w:sz="4" w:space="0" w:color="auto"/>
              <w:bottom w:val="single" w:sz="4" w:space="0" w:color="auto"/>
              <w:right w:val="single" w:sz="4" w:space="0" w:color="auto"/>
            </w:tcBorders>
            <w:vAlign w:val="center"/>
          </w:tcPr>
          <w:p w14:paraId="5B34E76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79DFB1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2B65C53"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900B41E" w14:textId="77777777" w:rsidR="00826E3B" w:rsidRPr="00A3436C" w:rsidRDefault="00826E3B" w:rsidP="003D5D10">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3B0AC62E"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U</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761A00A"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5647D"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6C2D0CD6" w14:textId="77777777" w:rsidR="00826E3B" w:rsidRPr="00A3436C" w:rsidRDefault="00826E3B" w:rsidP="003D5D10">
            <w:pPr>
              <w:spacing w:after="0"/>
              <w:jc w:val="center"/>
              <w:rPr>
                <w:rFonts w:ascii="Arial" w:hAnsi="Arial" w:cs="Arial"/>
                <w:sz w:val="18"/>
                <w:szCs w:val="18"/>
              </w:rPr>
            </w:pPr>
          </w:p>
        </w:tc>
      </w:tr>
      <w:tr w:rsidR="00826E3B" w:rsidRPr="00A3436C" w14:paraId="3093331F" w14:textId="77777777" w:rsidTr="003D5D10">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0B26A43"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7A37A0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Mexico</w:t>
            </w:r>
          </w:p>
        </w:tc>
        <w:tc>
          <w:tcPr>
            <w:tcW w:w="673" w:type="dxa"/>
            <w:tcBorders>
              <w:top w:val="single" w:sz="4" w:space="0" w:color="auto"/>
              <w:left w:val="single" w:sz="4" w:space="0" w:color="auto"/>
              <w:bottom w:val="single" w:sz="4" w:space="0" w:color="auto"/>
              <w:right w:val="single" w:sz="4" w:space="0" w:color="auto"/>
            </w:tcBorders>
            <w:vAlign w:val="center"/>
          </w:tcPr>
          <w:p w14:paraId="058D821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0C55A0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E1B303B"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4162D0A" w14:textId="77777777" w:rsidR="00826E3B" w:rsidRPr="00A3436C" w:rsidRDefault="00826E3B" w:rsidP="003D5D10">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1CA97C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342E4BAC"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9C1CD"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4A2CB7C7" w14:textId="77777777" w:rsidR="00826E3B" w:rsidRPr="00A3436C" w:rsidRDefault="00826E3B" w:rsidP="003D5D10">
            <w:pPr>
              <w:spacing w:after="0"/>
              <w:jc w:val="center"/>
              <w:rPr>
                <w:rFonts w:ascii="Arial" w:hAnsi="Arial" w:cs="Arial"/>
                <w:sz w:val="18"/>
                <w:szCs w:val="18"/>
              </w:rPr>
            </w:pPr>
          </w:p>
        </w:tc>
      </w:tr>
      <w:tr w:rsidR="00826E3B" w:rsidRPr="00A3436C" w14:paraId="167CB076" w14:textId="77777777" w:rsidTr="003D5D10">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1D0055" w14:textId="77777777" w:rsidR="00826E3B" w:rsidRPr="00A3436C" w:rsidRDefault="00826E3B" w:rsidP="003D5D10">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A28F13"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China</w:t>
            </w:r>
          </w:p>
        </w:tc>
        <w:tc>
          <w:tcPr>
            <w:tcW w:w="673" w:type="dxa"/>
            <w:tcBorders>
              <w:top w:val="single" w:sz="4" w:space="0" w:color="auto"/>
              <w:left w:val="single" w:sz="4" w:space="0" w:color="auto"/>
              <w:bottom w:val="single" w:sz="4" w:space="0" w:color="auto"/>
              <w:right w:val="single" w:sz="4" w:space="0" w:color="auto"/>
            </w:tcBorders>
            <w:vAlign w:val="center"/>
          </w:tcPr>
          <w:p w14:paraId="2857AFB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6FC8A7F"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59F883"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539F9347"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E1F4E5" w14:textId="77777777" w:rsidR="00826E3B" w:rsidRPr="00A3436C" w:rsidRDefault="00826E3B" w:rsidP="003D5D10">
            <w:pPr>
              <w:spacing w:after="0"/>
              <w:jc w:val="center"/>
              <w:rPr>
                <w:rFonts w:ascii="Arial" w:hAnsi="Arial" w:cs="Arial"/>
                <w:sz w:val="18"/>
                <w:szCs w:val="18"/>
              </w:rPr>
            </w:pPr>
            <w:r>
              <w:rPr>
                <w:rFonts w:ascii="Arial" w:hAnsi="Arial" w:cs="Arial"/>
                <w:sz w:val="18"/>
                <w:szCs w:val="18"/>
              </w:rPr>
              <w:t>L</w:t>
            </w:r>
          </w:p>
        </w:tc>
      </w:tr>
      <w:tr w:rsidR="00826E3B" w:rsidRPr="00A3436C" w14:paraId="48D144A8"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A6C58"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16B3EC5"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Japan</w:t>
            </w:r>
          </w:p>
        </w:tc>
        <w:tc>
          <w:tcPr>
            <w:tcW w:w="673" w:type="dxa"/>
            <w:tcBorders>
              <w:top w:val="single" w:sz="4" w:space="0" w:color="auto"/>
              <w:left w:val="single" w:sz="4" w:space="0" w:color="auto"/>
              <w:bottom w:val="single" w:sz="4" w:space="0" w:color="auto"/>
              <w:right w:val="single" w:sz="4" w:space="0" w:color="auto"/>
            </w:tcBorders>
            <w:vAlign w:val="center"/>
          </w:tcPr>
          <w:p w14:paraId="0A53B408"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82E4DA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366E916"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E08BD1F"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04C16B9"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02105D20" w14:textId="77777777" w:rsidR="00826E3B" w:rsidRPr="00A3436C" w:rsidRDefault="00826E3B" w:rsidP="003D5D10">
            <w:pPr>
              <w:spacing w:after="0"/>
              <w:jc w:val="center"/>
              <w:rPr>
                <w:rFonts w:ascii="Arial" w:hAnsi="Arial" w:cs="Arial"/>
                <w:sz w:val="18"/>
                <w:szCs w:val="18"/>
              </w:rPr>
            </w:pPr>
          </w:p>
        </w:tc>
      </w:tr>
      <w:tr w:rsidR="00826E3B" w:rsidRPr="00A3436C" w14:paraId="3071B53F"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B371"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347C87A"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Korea</w:t>
            </w:r>
          </w:p>
        </w:tc>
        <w:tc>
          <w:tcPr>
            <w:tcW w:w="673" w:type="dxa"/>
            <w:tcBorders>
              <w:top w:val="single" w:sz="4" w:space="0" w:color="auto"/>
              <w:left w:val="single" w:sz="4" w:space="0" w:color="auto"/>
              <w:bottom w:val="single" w:sz="4" w:space="0" w:color="auto"/>
              <w:right w:val="single" w:sz="4" w:space="0" w:color="auto"/>
            </w:tcBorders>
            <w:vAlign w:val="center"/>
          </w:tcPr>
          <w:p w14:paraId="73E29C4D"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79327B7"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3677E0F"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45BD279"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1A661AC"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66FDC4BF" w14:textId="77777777" w:rsidR="00826E3B" w:rsidRPr="00A3436C" w:rsidRDefault="00826E3B" w:rsidP="003D5D10">
            <w:pPr>
              <w:spacing w:after="0"/>
              <w:jc w:val="center"/>
              <w:rPr>
                <w:rFonts w:ascii="Arial" w:hAnsi="Arial" w:cs="Arial"/>
                <w:sz w:val="18"/>
                <w:szCs w:val="18"/>
              </w:rPr>
            </w:pPr>
          </w:p>
        </w:tc>
      </w:tr>
      <w:tr w:rsidR="00826E3B" w:rsidRPr="00A3436C" w14:paraId="735854D9"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F95F"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5656FED"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India</w:t>
            </w:r>
          </w:p>
        </w:tc>
        <w:tc>
          <w:tcPr>
            <w:tcW w:w="673" w:type="dxa"/>
            <w:tcBorders>
              <w:top w:val="single" w:sz="4" w:space="0" w:color="auto"/>
              <w:left w:val="single" w:sz="4" w:space="0" w:color="auto"/>
              <w:bottom w:val="single" w:sz="4" w:space="0" w:color="auto"/>
              <w:right w:val="single" w:sz="4" w:space="0" w:color="auto"/>
            </w:tcBorders>
            <w:vAlign w:val="center"/>
          </w:tcPr>
          <w:p w14:paraId="5F83BCB3"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BEB048E"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21A9A25"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1986020"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3DAC679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1A0E0B82" w14:textId="77777777" w:rsidR="00826E3B" w:rsidRPr="00A3436C" w:rsidRDefault="00826E3B" w:rsidP="003D5D10">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7DC27EF"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43F4CE05" w14:textId="77777777" w:rsidR="00826E3B" w:rsidRPr="00A3436C" w:rsidRDefault="00826E3B" w:rsidP="003D5D10">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19079A0" w14:textId="77777777" w:rsidR="00826E3B" w:rsidRPr="00A3436C" w:rsidRDefault="00826E3B" w:rsidP="003D5D10">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96A081" w14:textId="77777777" w:rsidR="00826E3B" w:rsidRPr="00A3436C" w:rsidRDefault="00826E3B" w:rsidP="003D5D10">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3398433D" w14:textId="77777777" w:rsidR="00826E3B" w:rsidRPr="00A3436C" w:rsidRDefault="00826E3B" w:rsidP="003D5D10">
            <w:pPr>
              <w:spacing w:after="0"/>
              <w:jc w:val="center"/>
              <w:rPr>
                <w:rFonts w:ascii="Arial" w:hAnsi="Arial" w:cs="Arial"/>
                <w:sz w:val="18"/>
                <w:szCs w:val="18"/>
              </w:rPr>
            </w:pPr>
          </w:p>
        </w:tc>
      </w:tr>
      <w:tr w:rsidR="00826E3B" w:rsidRPr="00A3436C" w14:paraId="12003CCE"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BF2EF"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63761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Taiwan</w:t>
            </w:r>
          </w:p>
        </w:tc>
        <w:tc>
          <w:tcPr>
            <w:tcW w:w="673" w:type="dxa"/>
            <w:tcBorders>
              <w:top w:val="single" w:sz="4" w:space="0" w:color="auto"/>
              <w:left w:val="single" w:sz="4" w:space="0" w:color="auto"/>
              <w:bottom w:val="single" w:sz="4" w:space="0" w:color="auto"/>
              <w:right w:val="single" w:sz="4" w:space="0" w:color="auto"/>
            </w:tcBorders>
            <w:vAlign w:val="center"/>
          </w:tcPr>
          <w:p w14:paraId="21B64432"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86304F5"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9C22031"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759D4EF"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C4ACC8E" w14:textId="45656494" w:rsidR="00826E3B" w:rsidRPr="00A3436C" w:rsidRDefault="00A37271" w:rsidP="003D5D10">
            <w:pPr>
              <w:spacing w:after="0"/>
              <w:jc w:val="center"/>
              <w:rPr>
                <w:rFonts w:ascii="Arial" w:hAnsi="Arial" w:cs="Arial"/>
                <w:sz w:val="18"/>
                <w:szCs w:val="18"/>
              </w:rPr>
            </w:pPr>
            <w:r>
              <w:rPr>
                <w:rFonts w:ascii="Arial" w:hAnsi="Arial" w:cs="Arial"/>
                <w:sz w:val="18"/>
                <w:szCs w:val="18"/>
              </w:rPr>
              <w:t>U</w:t>
            </w:r>
          </w:p>
        </w:tc>
        <w:tc>
          <w:tcPr>
            <w:tcW w:w="538" w:type="dxa"/>
            <w:tcBorders>
              <w:top w:val="single" w:sz="4" w:space="0" w:color="auto"/>
              <w:left w:val="single" w:sz="4" w:space="0" w:color="auto"/>
              <w:bottom w:val="single" w:sz="4" w:space="0" w:color="auto"/>
              <w:right w:val="single" w:sz="4" w:space="0" w:color="auto"/>
            </w:tcBorders>
            <w:vAlign w:val="center"/>
          </w:tcPr>
          <w:p w14:paraId="5C966DD4" w14:textId="77777777" w:rsidR="00826E3B" w:rsidRPr="00A3436C" w:rsidRDefault="00826E3B" w:rsidP="003D5D10">
            <w:pPr>
              <w:spacing w:after="0"/>
              <w:jc w:val="center"/>
              <w:rPr>
                <w:rFonts w:ascii="Arial" w:hAnsi="Arial" w:cs="Arial"/>
                <w:sz w:val="18"/>
                <w:szCs w:val="18"/>
              </w:rPr>
            </w:pPr>
          </w:p>
        </w:tc>
      </w:tr>
      <w:tr w:rsidR="00826E3B" w:rsidRPr="00A3436C" w14:paraId="63192763"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55B2"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2C9639C"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Singapore</w:t>
            </w:r>
          </w:p>
        </w:tc>
        <w:tc>
          <w:tcPr>
            <w:tcW w:w="673" w:type="dxa"/>
            <w:tcBorders>
              <w:top w:val="single" w:sz="4" w:space="0" w:color="auto"/>
              <w:left w:val="single" w:sz="4" w:space="0" w:color="auto"/>
              <w:bottom w:val="single" w:sz="4" w:space="0" w:color="auto"/>
              <w:right w:val="single" w:sz="4" w:space="0" w:color="auto"/>
            </w:tcBorders>
            <w:vAlign w:val="center"/>
          </w:tcPr>
          <w:p w14:paraId="02FF1844"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528BDA"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CCBD592"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62CD4122" w14:textId="77777777" w:rsidR="00826E3B" w:rsidRPr="00A3436C" w:rsidRDefault="00826E3B" w:rsidP="003D5D10">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748B028"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3A9AE392" w14:textId="77777777" w:rsidR="00826E3B" w:rsidRPr="00A3436C" w:rsidRDefault="00826E3B" w:rsidP="003D5D10">
            <w:pPr>
              <w:spacing w:after="0"/>
              <w:jc w:val="center"/>
              <w:rPr>
                <w:rFonts w:ascii="Arial" w:hAnsi="Arial" w:cs="Arial"/>
                <w:sz w:val="18"/>
                <w:szCs w:val="18"/>
              </w:rPr>
            </w:pPr>
          </w:p>
        </w:tc>
      </w:tr>
      <w:tr w:rsidR="00826E3B" w:rsidRPr="00A3436C" w14:paraId="46644F3B" w14:textId="77777777" w:rsidTr="003D5D10">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E884" w14:textId="77777777" w:rsidR="00826E3B" w:rsidRPr="00A3436C" w:rsidRDefault="00826E3B" w:rsidP="003D5D10">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BCCEAD8" w14:textId="77777777" w:rsidR="00826E3B" w:rsidRPr="00A3436C" w:rsidRDefault="00826E3B" w:rsidP="003D5D10">
            <w:pPr>
              <w:spacing w:after="0"/>
              <w:jc w:val="center"/>
              <w:rPr>
                <w:rFonts w:ascii="Arial" w:hAnsi="Arial" w:cs="Arial"/>
                <w:b/>
                <w:sz w:val="18"/>
                <w:szCs w:val="18"/>
              </w:rPr>
            </w:pPr>
            <w:r w:rsidRPr="00A3436C">
              <w:rPr>
                <w:rFonts w:ascii="Arial" w:hAnsi="Arial" w:cs="Arial"/>
                <w:b/>
                <w:sz w:val="18"/>
                <w:szCs w:val="18"/>
              </w:rPr>
              <w:t>Australia</w:t>
            </w:r>
          </w:p>
        </w:tc>
        <w:tc>
          <w:tcPr>
            <w:tcW w:w="673" w:type="dxa"/>
            <w:tcBorders>
              <w:top w:val="single" w:sz="4" w:space="0" w:color="auto"/>
              <w:left w:val="single" w:sz="4" w:space="0" w:color="auto"/>
              <w:bottom w:val="single" w:sz="4" w:space="0" w:color="auto"/>
              <w:right w:val="single" w:sz="4" w:space="0" w:color="auto"/>
            </w:tcBorders>
            <w:vAlign w:val="center"/>
          </w:tcPr>
          <w:p w14:paraId="4F5A209B"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FA1C6BB" w14:textId="77777777" w:rsidR="00826E3B" w:rsidRPr="00A3436C" w:rsidRDefault="00826E3B" w:rsidP="003D5D10">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C51C768" w14:textId="77777777" w:rsidR="00826E3B" w:rsidRPr="00A3436C" w:rsidRDefault="00826E3B" w:rsidP="003D5D10">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85BA198" w14:textId="77777777" w:rsidR="00826E3B" w:rsidRPr="00A3436C" w:rsidRDefault="00826E3B" w:rsidP="003D5D10">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E5322A1" w14:textId="77777777" w:rsidR="00826E3B" w:rsidRPr="00A3436C" w:rsidRDefault="00826E3B" w:rsidP="003D5D10">
            <w:pPr>
              <w:spacing w:after="0"/>
              <w:jc w:val="center"/>
              <w:rPr>
                <w:rFonts w:ascii="Arial" w:hAnsi="Arial" w:cs="Arial"/>
                <w:sz w:val="18"/>
                <w:szCs w:val="18"/>
              </w:rPr>
            </w:pPr>
            <w:r w:rsidRPr="00A3436C">
              <w:rPr>
                <w:rFonts w:ascii="Arial" w:hAnsi="Arial" w:cs="Arial"/>
                <w:sz w:val="18"/>
                <w:szCs w:val="18"/>
              </w:rPr>
              <w:t xml:space="preserve">U </w:t>
            </w:r>
          </w:p>
        </w:tc>
      </w:tr>
    </w:tbl>
    <w:p w14:paraId="114074FC" w14:textId="77777777" w:rsidR="00826E3B" w:rsidRDefault="00826E3B" w:rsidP="00826E3B"/>
    <w:p w14:paraId="2C1D9498" w14:textId="77777777" w:rsidR="000D2AB6" w:rsidRDefault="000D2AB6" w:rsidP="000D2AB6">
      <w:pPr>
        <w:pStyle w:val="Heading2"/>
      </w:pPr>
      <w:r>
        <w:t>2.2</w:t>
      </w:r>
      <w:r>
        <w:tab/>
      </w:r>
      <w:r w:rsidRPr="000D2AB6">
        <w:t xml:space="preserve">CEPT/Europe </w:t>
      </w:r>
    </w:p>
    <w:p w14:paraId="2332486B" w14:textId="3AD062E3" w:rsidR="00C24837" w:rsidRDefault="000D2AB6" w:rsidP="000D2AB6">
      <w:pPr>
        <w:pStyle w:val="Heading3"/>
      </w:pPr>
      <w:r>
        <w:t>2.2.1</w:t>
      </w:r>
      <w:r>
        <w:tab/>
        <w:t xml:space="preserve">Existing license-exempt regulations and standardisation status </w:t>
      </w:r>
    </w:p>
    <w:p w14:paraId="1E578D53" w14:textId="74AE89FB" w:rsidR="000D2AB6" w:rsidRDefault="000D2AB6" w:rsidP="000D2AB6">
      <w:r>
        <w:t>The 57-71 GHz range, encompassing the 66-71 GHz range which has been identified by the WRC-19 for IMT), is already subject to a permanent European Commission mandate to CEPT covering Short-Range Devices (SRD).</w:t>
      </w:r>
      <w:r>
        <w:t xml:space="preserve"> </w:t>
      </w:r>
      <w:r>
        <w:t xml:space="preserve">ERC/REC 70-03 sets out the CEPT position on common spectrum which can be designated for Short Range Devices (SRD) applications and is a reference document to assist in preparing national spectrum regulations. The position set out in this Recommendation (ERC Recommendation 70-03) is subject to continuous review.  ERC Recommendation 70-03 and EC Decision for SRDs (EU) 2019/1345 already have provisions to allow higher powered Wideband Data Transmission use in the 57-71 GHz band. The spectrum regulatory deliverables were both revised and updated during the study period for WRC-19 to include both increased power and spectrum availability to allow use of the band by a more diverse set of uses and applications. </w:t>
      </w:r>
    </w:p>
    <w:p w14:paraId="1FD57B20" w14:textId="66F05C77" w:rsidR="000D2AB6" w:rsidRDefault="000D2AB6" w:rsidP="000D2AB6">
      <w:r>
        <w:t>The studies undertaken were originally to allow higher powers in 57-66 GHz and considered the results of new studies in ECC Report 288 as well as previous studies carried out in ECC Reports 113 and 114. The scope of ECC Report 288 was to analyse the compatibility of Multiple Gigabit Wireless Systems (MGWS) with the Fixed Service (FS) and other services in the 60 GHz band (V-band). It was also to assess the feasibility of establishing a common set of technical conditions under which Fixed Service applications and other envisaged outdoor Wideband Data Transmission use may coexist within 57-66 GHz as described in the CEPT Roadmap for 5G. It was considered that this frequency band is a shared band and that Wideband Data Transmission use includes 5G/IMT.</w:t>
      </w:r>
    </w:p>
    <w:p w14:paraId="5BE14986" w14:textId="77777777" w:rsidR="000D2AB6" w:rsidRDefault="000D2AB6" w:rsidP="000D2AB6">
      <w:r>
        <w:t xml:space="preserve">In addition, the results of the studies carried out within CEPT between wideband data transmission use and the incumbent services and applications in 57-66GHz were further analysed to include the possibility of expanding the existing regulations to cover 66-71 GHz. As a result of this additional analysis both CEPT and EC developed the revised regulations and technology neutral technical conditions contained in both SRDs (EU) 2019/1345 and ERC Recommendation 70-03 that were approved last year. The scope of this work was not to look at introducing licenced mobile services into the band as the assumption was that 5G services in 66-71 GHz would have to share and meet the same technical requirements as the existing services operating in the band under a general authorisation regime. </w:t>
      </w:r>
    </w:p>
    <w:p w14:paraId="4403F162" w14:textId="17BF7FD4" w:rsidR="000D2AB6" w:rsidRDefault="000D2AB6" w:rsidP="000D2AB6">
      <w:r>
        <w:t xml:space="preserve">ETSI has raised new work items to revise the existing Harmonised Standard for 60 GHz Multiple-Gigabit/s (MGWS) equipment (EN 302 567) to include the extension from 66-71 GHz and develop two new ETSI harmonised Standards for use in 57-71GHz by Wideband Data Transmission Systems (WDTS) for Fixed Networks (EN 303 722) and Wideband Data Transmission Systems (WDTS) for Mobile and Fixed Equipment (EN 303 753). However, although the </w:t>
      </w:r>
      <w:r>
        <w:lastRenderedPageBreak/>
        <w:t>scope of this work included use of 3GPP technologies it is not specifically targeted at licenced mobile services and the technical parameters being used are based on the current regulations.</w:t>
      </w:r>
    </w:p>
    <w:p w14:paraId="2897A037" w14:textId="7FED7747" w:rsidR="00EC454E" w:rsidRDefault="00EC454E" w:rsidP="00EC454E">
      <w:pPr>
        <w:pStyle w:val="Heading3"/>
      </w:pPr>
      <w:r>
        <w:t>2.2.2</w:t>
      </w:r>
      <w:r>
        <w:tab/>
      </w:r>
      <w:r w:rsidRPr="00EC454E">
        <w:t xml:space="preserve">European </w:t>
      </w:r>
      <w:r>
        <w:t>s</w:t>
      </w:r>
      <w:r w:rsidRPr="00EC454E">
        <w:t xml:space="preserve">tandardisation </w:t>
      </w:r>
      <w:r>
        <w:t>a</w:t>
      </w:r>
      <w:r w:rsidRPr="00EC454E">
        <w:t xml:space="preserve">ctivities </w:t>
      </w:r>
    </w:p>
    <w:p w14:paraId="3EFFB7EA" w14:textId="1890FFFE" w:rsidR="00EC454E" w:rsidRDefault="00EC454E" w:rsidP="000D2AB6">
      <w:r w:rsidRPr="00EC454E">
        <w:t>There are three European Harmonised standards addressing the 57-71 GHz band; all at various degrees of maturity ranging from mature published standards which have been used for many years under R&amp;TTE Directive and now RED, to initial drafts being developed to address new use cases. The three ETSI active work items are as detailed in the table below</w:t>
      </w:r>
      <w:r>
        <w:t>:</w:t>
      </w:r>
    </w:p>
    <w:tbl>
      <w:tblPr>
        <w:tblStyle w:val="TableGrid"/>
        <w:tblW w:w="0" w:type="auto"/>
        <w:tblLook w:val="04A0" w:firstRow="1" w:lastRow="0" w:firstColumn="1" w:lastColumn="0" w:noHBand="0" w:noVBand="1"/>
      </w:tblPr>
      <w:tblGrid>
        <w:gridCol w:w="2405"/>
        <w:gridCol w:w="7088"/>
      </w:tblGrid>
      <w:tr w:rsidR="00EC454E" w14:paraId="664BD239" w14:textId="77777777" w:rsidTr="00EC454E">
        <w:tc>
          <w:tcPr>
            <w:tcW w:w="2405" w:type="dxa"/>
          </w:tcPr>
          <w:p w14:paraId="02A984FF" w14:textId="71E9DD5C" w:rsidR="00EC454E" w:rsidRDefault="00EC454E" w:rsidP="00EC454E">
            <w:pPr>
              <w:pStyle w:val="TAH"/>
            </w:pPr>
            <w:r>
              <w:t>Identification</w:t>
            </w:r>
          </w:p>
        </w:tc>
        <w:tc>
          <w:tcPr>
            <w:tcW w:w="7088" w:type="dxa"/>
          </w:tcPr>
          <w:p w14:paraId="3C5FDF16" w14:textId="4B76C5F0" w:rsidR="00EC454E" w:rsidRDefault="00EC454E" w:rsidP="00EC454E">
            <w:pPr>
              <w:pStyle w:val="TAH"/>
            </w:pPr>
            <w:r w:rsidRPr="00EC454E">
              <w:t>Harmonised Standard Title / ERC REC 74-03 Relevance / ETSI Work Programme</w:t>
            </w:r>
          </w:p>
        </w:tc>
      </w:tr>
      <w:tr w:rsidR="00EC454E" w14:paraId="29A8515E" w14:textId="77777777" w:rsidTr="00EC454E">
        <w:tc>
          <w:tcPr>
            <w:tcW w:w="2405" w:type="dxa"/>
          </w:tcPr>
          <w:p w14:paraId="404DDE19" w14:textId="064E38C8" w:rsidR="00EC454E" w:rsidRDefault="00EC454E" w:rsidP="00EC454E">
            <w:pPr>
              <w:pStyle w:val="TAC"/>
            </w:pPr>
            <w:r>
              <w:t>EN 302 567</w:t>
            </w:r>
          </w:p>
          <w:p w14:paraId="05CCC51A" w14:textId="66BE1730" w:rsidR="00EC454E" w:rsidRPr="00EC454E" w:rsidRDefault="00EC454E" w:rsidP="00EC454E">
            <w:pPr>
              <w:pStyle w:val="TAC"/>
            </w:pPr>
            <w:r>
              <w:t>(published;</w:t>
            </w:r>
            <w:r>
              <w:t xml:space="preserve"> </w:t>
            </w:r>
            <w:r>
              <w:t>being revised)</w:t>
            </w:r>
          </w:p>
        </w:tc>
        <w:tc>
          <w:tcPr>
            <w:tcW w:w="7088" w:type="dxa"/>
          </w:tcPr>
          <w:p w14:paraId="65701B72" w14:textId="5150030D" w:rsidR="00EC454E" w:rsidRDefault="00EC454E" w:rsidP="00EC454E">
            <w:pPr>
              <w:pStyle w:val="TAC"/>
              <w:jc w:val="left"/>
            </w:pPr>
            <w:r>
              <w:t xml:space="preserve">“Multiple-Gigabit/s radio equipment operating in the 60 GHz band; Harmonised Standard for access to radio spectrum” </w:t>
            </w:r>
          </w:p>
          <w:p w14:paraId="555053BC" w14:textId="77777777" w:rsidR="00EC454E" w:rsidRDefault="00EC454E" w:rsidP="00EC454E">
            <w:pPr>
              <w:pStyle w:val="TAC"/>
              <w:jc w:val="left"/>
            </w:pPr>
          </w:p>
          <w:p w14:paraId="18D9C96C" w14:textId="05A92C51" w:rsidR="00EC454E" w:rsidRDefault="00EC454E" w:rsidP="00EC454E">
            <w:pPr>
              <w:pStyle w:val="TAC"/>
              <w:jc w:val="left"/>
            </w:pPr>
            <w:r>
              <w:t xml:space="preserve">ERC/REC 70-03 Annex 3 (frequency bands c1) </w:t>
            </w:r>
          </w:p>
          <w:p w14:paraId="4615CACF" w14:textId="77777777" w:rsidR="00EC454E" w:rsidRDefault="00EC454E" w:rsidP="00EC454E">
            <w:pPr>
              <w:pStyle w:val="TAC"/>
              <w:jc w:val="left"/>
            </w:pPr>
          </w:p>
          <w:p w14:paraId="1BB23B9B" w14:textId="7610E203" w:rsidR="00EC454E" w:rsidRPr="00EC454E" w:rsidRDefault="00EC454E" w:rsidP="00EC454E">
            <w:pPr>
              <w:pStyle w:val="TAC"/>
              <w:jc w:val="left"/>
            </w:pPr>
            <w:r>
              <w:t>EN 302 567 ETSI Work Programme</w:t>
            </w:r>
          </w:p>
        </w:tc>
      </w:tr>
      <w:tr w:rsidR="00EC454E" w14:paraId="710604BE" w14:textId="77777777" w:rsidTr="00EC454E">
        <w:tc>
          <w:tcPr>
            <w:tcW w:w="2405" w:type="dxa"/>
          </w:tcPr>
          <w:p w14:paraId="17E03096" w14:textId="77777777" w:rsidR="00EC454E" w:rsidRDefault="00EC454E" w:rsidP="00EC454E">
            <w:pPr>
              <w:pStyle w:val="TAC"/>
            </w:pPr>
            <w:r>
              <w:t xml:space="preserve">EN 303 722 </w:t>
            </w:r>
          </w:p>
          <w:p w14:paraId="39465D10" w14:textId="4BDE8621" w:rsidR="00EC454E" w:rsidRPr="00EC454E" w:rsidRDefault="00EC454E" w:rsidP="00EC454E">
            <w:pPr>
              <w:pStyle w:val="TAC"/>
            </w:pPr>
            <w:r>
              <w:t>(draft)</w:t>
            </w:r>
          </w:p>
        </w:tc>
        <w:tc>
          <w:tcPr>
            <w:tcW w:w="7088" w:type="dxa"/>
          </w:tcPr>
          <w:p w14:paraId="3FD47C46" w14:textId="0591FC38" w:rsidR="00EC454E" w:rsidRDefault="00EC454E" w:rsidP="00EC454E">
            <w:pPr>
              <w:pStyle w:val="TAC"/>
              <w:jc w:val="left"/>
            </w:pPr>
            <w:r>
              <w:t>“Wideband Data Transmission System (WDTS) for Fixed Network Radio Equipment operating in the 57-71 GHz band; Harmonised Standard for access to radio spectrum”</w:t>
            </w:r>
          </w:p>
          <w:p w14:paraId="4C859270" w14:textId="77777777" w:rsidR="00EC454E" w:rsidRDefault="00EC454E" w:rsidP="00EC454E">
            <w:pPr>
              <w:pStyle w:val="TAC"/>
              <w:jc w:val="left"/>
            </w:pPr>
          </w:p>
          <w:p w14:paraId="55B06EF5" w14:textId="3B4F9EF7" w:rsidR="00EC454E" w:rsidRDefault="00EC454E" w:rsidP="00EC454E">
            <w:pPr>
              <w:pStyle w:val="TAC"/>
              <w:jc w:val="left"/>
            </w:pPr>
            <w:r>
              <w:t>Develop Harmonized Standard for Wideband Data Transmission Systems (WDTS) for fixed network radio equipment operating in 57 - 71 GHz band taking into consideration ERC/REC 70-03 Annex 3 (frequency bands c2 and c3) and Commission Decision 2006/771/EC.</w:t>
            </w:r>
          </w:p>
          <w:p w14:paraId="7892401F" w14:textId="77777777" w:rsidR="00EC454E" w:rsidRDefault="00EC454E" w:rsidP="00EC454E">
            <w:pPr>
              <w:pStyle w:val="TAC"/>
              <w:jc w:val="left"/>
            </w:pPr>
          </w:p>
          <w:p w14:paraId="5B6D0774" w14:textId="6C9D8B90" w:rsidR="00EC454E" w:rsidRPr="00EC454E" w:rsidRDefault="00EC454E" w:rsidP="00EC454E">
            <w:pPr>
              <w:pStyle w:val="TAC"/>
              <w:jc w:val="left"/>
            </w:pPr>
            <w:r>
              <w:t>EN 303 722 ETSI Work Programme</w:t>
            </w:r>
          </w:p>
        </w:tc>
      </w:tr>
      <w:tr w:rsidR="00EC454E" w14:paraId="6853413E" w14:textId="77777777" w:rsidTr="00EC454E">
        <w:tc>
          <w:tcPr>
            <w:tcW w:w="2405" w:type="dxa"/>
          </w:tcPr>
          <w:p w14:paraId="4FD61FA8" w14:textId="77777777" w:rsidR="00EC454E" w:rsidRDefault="00EC454E" w:rsidP="00EC454E">
            <w:pPr>
              <w:pStyle w:val="TAC"/>
            </w:pPr>
            <w:r>
              <w:t>EN 303 753</w:t>
            </w:r>
          </w:p>
          <w:p w14:paraId="0EF0DB9F" w14:textId="648961B2" w:rsidR="00EC454E" w:rsidRPr="00EC454E" w:rsidRDefault="00EC454E" w:rsidP="00EC454E">
            <w:pPr>
              <w:pStyle w:val="TAC"/>
            </w:pPr>
            <w:r>
              <w:t>(draft)</w:t>
            </w:r>
          </w:p>
        </w:tc>
        <w:tc>
          <w:tcPr>
            <w:tcW w:w="7088" w:type="dxa"/>
          </w:tcPr>
          <w:p w14:paraId="72F40E72" w14:textId="1DB2CFAA" w:rsidR="00EC454E" w:rsidRDefault="00EC454E" w:rsidP="00EC454E">
            <w:pPr>
              <w:pStyle w:val="TAC"/>
              <w:jc w:val="left"/>
            </w:pPr>
            <w:r>
              <w:t>“Wideband Data Transmission Systems (WDTS) for Mobile and Fixed Radio Equipment operating in the 57-71 GHz band; Harmonised Standard for access to radio spectrum”</w:t>
            </w:r>
          </w:p>
          <w:p w14:paraId="6FD55D89" w14:textId="77777777" w:rsidR="00EC454E" w:rsidRDefault="00EC454E" w:rsidP="00EC454E">
            <w:pPr>
              <w:pStyle w:val="TAC"/>
              <w:jc w:val="left"/>
            </w:pPr>
          </w:p>
          <w:p w14:paraId="17DB17C3" w14:textId="6772341F" w:rsidR="00EC454E" w:rsidRDefault="00EC454E" w:rsidP="00EC454E">
            <w:pPr>
              <w:pStyle w:val="TAC"/>
              <w:jc w:val="left"/>
            </w:pPr>
            <w:r>
              <w:t>Develop Harmonized Standard for Wideband Data Transmission Systems (WDTS) for mobile and fixed radio equipment operating in 57 - 71 GHz band taking into consideration ERC/REC 70-03 Annex 3 on Wideband Data Transmission Systems (frequency band c2) and row 75a in Table 2 of Commission Implementing Decision (EU) 2019/1345 of 2 August 2019 amending Decision 2006/771/EC, including any potential updates to these decisions. The intended HEN considers equipment not covered in EN 302 567 and EN 303 722.</w:t>
            </w:r>
          </w:p>
          <w:p w14:paraId="23468412" w14:textId="77777777" w:rsidR="00EC454E" w:rsidRDefault="00EC454E" w:rsidP="00EC454E">
            <w:pPr>
              <w:pStyle w:val="TAC"/>
              <w:jc w:val="left"/>
            </w:pPr>
          </w:p>
          <w:p w14:paraId="492625AC" w14:textId="4B2B607E" w:rsidR="00EC454E" w:rsidRPr="00EC454E" w:rsidRDefault="00EC454E" w:rsidP="00EC454E">
            <w:pPr>
              <w:pStyle w:val="TAC"/>
              <w:jc w:val="left"/>
            </w:pPr>
            <w:r>
              <w:t>EN 303 753 ETSI Work Programme</w:t>
            </w:r>
          </w:p>
        </w:tc>
      </w:tr>
    </w:tbl>
    <w:p w14:paraId="0DB9621C" w14:textId="1BF58472" w:rsidR="00EC454E" w:rsidRDefault="00EC454E" w:rsidP="000D2AB6"/>
    <w:p w14:paraId="34E6CCB3" w14:textId="1547CD37" w:rsidR="00EC454E" w:rsidRDefault="00EC454E" w:rsidP="000D2AB6"/>
    <w:p w14:paraId="7E9876D1" w14:textId="77777777" w:rsidR="00EC454E" w:rsidRDefault="00EC454E" w:rsidP="000D2AB6"/>
    <w:p w14:paraId="77432E9F" w14:textId="7DA24174" w:rsidR="008C1634" w:rsidRDefault="000D2AB6" w:rsidP="000D2AB6">
      <w:pPr>
        <w:pStyle w:val="Heading3"/>
      </w:pPr>
      <w:r>
        <w:t>2.2.</w:t>
      </w:r>
      <w:r w:rsidR="00E068AE">
        <w:t>3</w:t>
      </w:r>
      <w:r>
        <w:tab/>
      </w:r>
      <w:r w:rsidRPr="000D2AB6">
        <w:t>European Commission Mandate to CEPT addressing 66-71 GHz</w:t>
      </w:r>
    </w:p>
    <w:p w14:paraId="65495CC8" w14:textId="77777777" w:rsidR="000D2AB6" w:rsidRDefault="000D2AB6" w:rsidP="000D2AB6">
      <w:r>
        <w:t>The World Radiocommunication Conference in 2019 (WRC-19) amended the ITU-R Radio Regulations by providing a global mobile allocation and IMT (including 5G) identification for the 66-71 GHz frequency band. The deployment of 5G services worldwide would benefit from a degree of coherence of the applicable harmonised technical conditions throughout this frequency range on a global scale. The amended Radio Regulations also provide for coexistence of 5G systems and wireless access systems such as multiple-gigabit wireless systems within the 66-71 GHz frequency band. Furthermore, co-existence with certain satellite services should be considered for the latter band.</w:t>
      </w:r>
    </w:p>
    <w:p w14:paraId="4A79575F" w14:textId="48D7F9A7" w:rsidR="000D2AB6" w:rsidRDefault="000D2AB6" w:rsidP="000D2AB6">
      <w:r>
        <w:t>It should be noted that the IMT identification and accompanying footnote in the Radio Regulations clarifies the status of this 66-71 GHz IMT Identification</w:t>
      </w:r>
      <w:r>
        <w:t>, as follows:</w:t>
      </w:r>
      <w:r>
        <w:t xml:space="preserve"> </w:t>
      </w:r>
    </w:p>
    <w:p w14:paraId="13D37C78" w14:textId="532DE140" w:rsidR="000D2AB6" w:rsidRDefault="000D2AB6" w:rsidP="000D2AB6">
      <w:pPr>
        <w:pStyle w:val="B1"/>
      </w:pPr>
      <w:r>
        <w:t xml:space="preserve"> </w:t>
      </w:r>
      <w:r>
        <w:tab/>
      </w:r>
      <w:r>
        <w:t>This identification does not preclude the use of this frequency band by any application of the services to which it is allocated and does not establish priority in the Radio Regulations</w:t>
      </w:r>
      <w:r>
        <w:t>.</w:t>
      </w:r>
    </w:p>
    <w:p w14:paraId="215ECF24" w14:textId="4D3D5A04" w:rsidR="000D2AB6" w:rsidRDefault="000D2AB6" w:rsidP="000D2AB6"/>
    <w:p w14:paraId="69CD3896" w14:textId="77777777" w:rsidR="000D2AB6" w:rsidRDefault="000D2AB6" w:rsidP="000D2AB6">
      <w:r>
        <w:t xml:space="preserve">A European Commission mandate is a request from the European Commission via its Radio Spectrum Committee (RSC) to the Conference on Postal and Telecommunications (CEPT) to conduct technical studies in order to develop technical implementing measures at Community level to harmonise the use of the radio spectrum in Europe. Each </w:t>
      </w:r>
      <w:r>
        <w:lastRenderedPageBreak/>
        <w:t>European Commission mandate must specify the task that the CEPT is being asked to perform and the timetable that it should be achieved in.</w:t>
      </w:r>
    </w:p>
    <w:p w14:paraId="150AA615" w14:textId="5811F028" w:rsidR="000D2AB6" w:rsidRDefault="000D2AB6" w:rsidP="000D2AB6">
      <w:r>
        <w:t>A European Commission Radio Spectrum Mandate to CEPT was issued 30 March 2020 titled “Mandate to CEPT to develop least restrictive harmonised technical conditions suitable for next-generation (5G) terrestrial wireless systems for priority frequency bands above 24 GHz”</w:t>
      </w:r>
      <w:r>
        <w:t xml:space="preserve">. </w:t>
      </w:r>
      <w:r>
        <w:t>This Mandate is a follow-up to the European Commission mandates regarding the development of harmonised technical conditions suitable for the provision of next-generation (5G) electronic communications services. One element of this mandate is to assess the need to update the EU-harmonised technical conditions for 5G use of the priority frequency band 66-71 GHz taking into account 5G usage scenarios related to very high-capacity networks and meet the overarching objective of ensuring efficient spectrum use.</w:t>
      </w:r>
    </w:p>
    <w:p w14:paraId="549241C8" w14:textId="77777777" w:rsidR="000D2AB6" w:rsidRDefault="000D2AB6" w:rsidP="000D2AB6">
      <w:r>
        <w:t xml:space="preserve">CEPT is mandated to perform the following tasks related to 66-71 GHz with a view to developing harmonised least restrictive technical conditions for spectrum use: </w:t>
      </w:r>
    </w:p>
    <w:p w14:paraId="09F265F2" w14:textId="7CBF339E" w:rsidR="000D2AB6" w:rsidRPr="000D2AB6" w:rsidRDefault="000D2AB6" w:rsidP="000D2AB6">
      <w:pPr>
        <w:pStyle w:val="B1"/>
      </w:pPr>
      <w:r>
        <w:t>-</w:t>
      </w:r>
      <w:r>
        <w:tab/>
      </w:r>
      <w:r w:rsidRPr="000D2AB6">
        <w:t>Review and revise, only if necessary, the EU-harmonised technical conditions for use of the 66-71 GHz frequency band with a view to use of this band for next- generation (5G) wireless broadband electronic communications services, taking into account relevant scenarios for shared spectrum use and the further development of all relevant services within the band. In this regard, ensure coherence of results and reporting to the Commission, taking into account the ongoing work on the permanent mandate to CEPT on short-range devices, in accordance with the latest Commission guidance</w:t>
      </w:r>
      <w:r>
        <w:t>.</w:t>
      </w:r>
      <w:r w:rsidRPr="000D2AB6">
        <w:t xml:space="preserve"> </w:t>
      </w:r>
    </w:p>
    <w:p w14:paraId="45B31F4C" w14:textId="0F2A5DDF" w:rsidR="000D2AB6" w:rsidRDefault="000D2AB6" w:rsidP="000D2AB6">
      <w:pPr>
        <w:pStyle w:val="B1"/>
      </w:pPr>
      <w:r>
        <w:t>-</w:t>
      </w:r>
      <w:r>
        <w:tab/>
      </w:r>
      <w:r w:rsidRPr="000D2AB6">
        <w:t>The conditions should take into account relevant authorisation modes and be sufficient to mitigate interference and to ensure co- existence with incumbent radio services/applications in the same band or in adjacent bands, in line with their regulatory status, including at the EU outer borders.</w:t>
      </w:r>
    </w:p>
    <w:p w14:paraId="675FE4B7" w14:textId="7F4D8CC3" w:rsidR="000D2AB6" w:rsidRPr="000D2AB6" w:rsidRDefault="000D2AB6" w:rsidP="000D2AB6">
      <w:pPr>
        <w:pStyle w:val="B1"/>
      </w:pPr>
      <w:r>
        <w:t>-</w:t>
      </w:r>
      <w:r>
        <w:tab/>
      </w:r>
      <w:r w:rsidRPr="000D2AB6">
        <w:t>Assess the need for and develop, if necessary, guidance for cross-border coordination.</w:t>
      </w:r>
    </w:p>
    <w:p w14:paraId="0C91CDC8" w14:textId="77777777" w:rsidR="000D2AB6" w:rsidRDefault="000D2AB6" w:rsidP="000D2AB6"/>
    <w:p w14:paraId="22D09270" w14:textId="2CBE6AE6" w:rsidR="000D2AB6" w:rsidRDefault="000D2AB6" w:rsidP="000D2AB6">
      <w:r>
        <w:t>ECC WGFM have been tasked by the ECC to develop least restrictive harmonised technical conditions suitable for next-generation (5G) terrestrial wireless systems for priority frequency bands above 24 GHz.</w:t>
      </w:r>
      <w:r>
        <w:t xml:space="preserve"> </w:t>
      </w:r>
      <w:r>
        <w:t xml:space="preserve">This task is to review and revise, only if necessary, the EU-harmonised technical conditions for use of the 66-71 GHz frequency band with a view to use of this band for next-generation (5G) wireless broadband electronic communications services, taking into account relevant scenarios for shared spectrum use and the further development of all relevant services within the band. In this regard, ensure coherence of results and reporting to the European Commission, taking into account the ongoing work on the permanent mandate to CEPT on short-range devices, in accordance with the latest Commission </w:t>
      </w:r>
      <w:proofErr w:type="gramStart"/>
      <w:r>
        <w:t>guidance .</w:t>
      </w:r>
      <w:proofErr w:type="gramEnd"/>
    </w:p>
    <w:p w14:paraId="368E8BB5" w14:textId="0A39EA85" w:rsidR="000D2AB6" w:rsidRDefault="000D2AB6" w:rsidP="000D2AB6">
      <w:r>
        <w:t>ECC WGFM at their October 2020 meeting concluded the following</w:t>
      </w:r>
      <w:r>
        <w:t>:</w:t>
      </w:r>
    </w:p>
    <w:p w14:paraId="4A4EB17C" w14:textId="69FCCA24" w:rsidR="000D2AB6" w:rsidRPr="000D2AB6" w:rsidRDefault="000D2AB6" w:rsidP="000D2AB6">
      <w:pPr>
        <w:pStyle w:val="B1"/>
      </w:pPr>
      <w:r>
        <w:t xml:space="preserve"> </w:t>
      </w:r>
      <w:r>
        <w:tab/>
      </w:r>
      <w:r w:rsidRPr="000D2AB6">
        <w:t>Based on our analysis the existing technical conditions contained in both SRDs (EU) 2019/1345 and ERC Recommendation 70-03 are sufficient to allow the use of the 66-71GHz frequency band by next generation (5G) wireless broadband electronic communication services. We also consider that the current regulations have been developed taking account of the CEPT Roadmap for 5G and the assumptions are that 5G services in this band would operate under the current general authorisation framework and would implement the appropriate technical conditions to co-exist with other users of the band including current Fixed and mobile Wideband technologies operating under the current regulations.</w:t>
      </w:r>
    </w:p>
    <w:p w14:paraId="70D0A820" w14:textId="77777777" w:rsidR="000D2AB6" w:rsidRDefault="000D2AB6" w:rsidP="008C1634">
      <w:pPr>
        <w:pStyle w:val="B1"/>
        <w:ind w:left="0" w:firstLine="0"/>
      </w:pPr>
    </w:p>
    <w:p w14:paraId="3DD434FD" w14:textId="618CC863" w:rsidR="000D2C4B" w:rsidRDefault="000D2C4B" w:rsidP="000D2C4B">
      <w:pPr>
        <w:pStyle w:val="Proposal"/>
      </w:pPr>
      <w:bookmarkStart w:id="2" w:name="_Toc47614969"/>
      <w:bookmarkStart w:id="3" w:name="_Toc47629682"/>
      <w:bookmarkStart w:id="4" w:name="_Toc54022173"/>
      <w:bookmarkStart w:id="5" w:name="_Toc54105959"/>
      <w:r>
        <w:t>Proposal:</w:t>
      </w:r>
      <w:r>
        <w:tab/>
      </w:r>
      <w:r w:rsidR="005C4000">
        <w:t>Capture the latest 60GHz regulatory status in the ongoing SI</w:t>
      </w:r>
      <w:r>
        <w:t>.</w:t>
      </w:r>
      <w:bookmarkEnd w:id="2"/>
      <w:bookmarkEnd w:id="3"/>
      <w:bookmarkEnd w:id="4"/>
      <w:bookmarkEnd w:id="5"/>
    </w:p>
    <w:p w14:paraId="01F8421F" w14:textId="4B3781E8" w:rsidR="007059D9" w:rsidRDefault="007059D9" w:rsidP="007059D9"/>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2D698A31" w:rsidR="00BA300B" w:rsidRDefault="00026BD3" w:rsidP="00E72324">
      <w:r>
        <w:t>3GPP RAN has completed s</w:t>
      </w:r>
      <w:r w:rsidRPr="00026BD3">
        <w:t xml:space="preserve">tudy on requirements for NR beyond 52.6 GHz </w:t>
      </w:r>
      <w:r>
        <w:t xml:space="preserve">in December 2019, whereupon the latest regulatory status for frequency ranges from 52.6GHz up to 114.25GHz was captured in TR 38.807. Since then more regulatory decisions were made which it would be preferable to capture to facilitate further 3GPP discussions on bands and band plan. </w:t>
      </w:r>
      <w:r w:rsidR="000F42F7">
        <w:tab/>
      </w:r>
    </w:p>
    <w:p w14:paraId="0027DDAF" w14:textId="77777777" w:rsidR="00026BD3" w:rsidRDefault="00357075">
      <w:pPr>
        <w:pStyle w:val="TOC1"/>
        <w:rPr>
          <w:rFonts w:asciiTheme="minorHAnsi" w:eastAsiaTheme="minorEastAsia" w:hAnsiTheme="minorHAnsi" w:cstheme="minorBidi"/>
          <w:b w:val="0"/>
          <w:bCs w:val="0"/>
          <w:noProof/>
          <w:sz w:val="24"/>
          <w:szCs w:val="24"/>
          <w:lang w:val="de-DE" w:eastAsia="ko-KR"/>
        </w:rPr>
      </w:pPr>
      <w:r>
        <w:fldChar w:fldCharType="begin"/>
      </w:r>
      <w:r>
        <w:instrText xml:space="preserve"> TOC \n \t "Proposal,1" </w:instrText>
      </w:r>
      <w:r>
        <w:fldChar w:fldCharType="separate"/>
      </w:r>
      <w:r w:rsidR="00026BD3">
        <w:rPr>
          <w:noProof/>
        </w:rPr>
        <w:t>Proposal:</w:t>
      </w:r>
      <w:r w:rsidR="00026BD3">
        <w:rPr>
          <w:rFonts w:asciiTheme="minorHAnsi" w:eastAsiaTheme="minorEastAsia" w:hAnsiTheme="minorHAnsi" w:cstheme="minorBidi"/>
          <w:b w:val="0"/>
          <w:bCs w:val="0"/>
          <w:noProof/>
          <w:sz w:val="24"/>
          <w:szCs w:val="24"/>
          <w:lang w:val="de-DE" w:eastAsia="ko-KR"/>
        </w:rPr>
        <w:tab/>
      </w:r>
      <w:r w:rsidR="00026BD3">
        <w:rPr>
          <w:noProof/>
        </w:rPr>
        <w:t>Capture the latest 60GHz regulatory status in the ongoing SI.</w:t>
      </w:r>
    </w:p>
    <w:p w14:paraId="41BB36C8" w14:textId="7B4AC39D" w:rsidR="005E69AE" w:rsidRDefault="00357075" w:rsidP="00662A4B">
      <w:r>
        <w:rPr>
          <w:b/>
          <w:bCs/>
          <w:noProof/>
        </w:rPr>
        <w:lastRenderedPageBreak/>
        <w:fldChar w:fldCharType="end"/>
      </w:r>
    </w:p>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6" w:name="_Ref31651909"/>
      <w:bookmarkStart w:id="7" w:name="_Ref13820109"/>
      <w:r w:rsidRPr="00821AEF">
        <w:t>RP-182861</w:t>
      </w:r>
      <w:r>
        <w:t>, "</w:t>
      </w:r>
      <w:r w:rsidRPr="00821AEF">
        <w:t>Study on NR design above 52.6GHz (spectrum &amp; regulatory)</w:t>
      </w:r>
      <w:r>
        <w:t>", Intel</w:t>
      </w:r>
      <w:bookmarkEnd w:id="6"/>
    </w:p>
    <w:p w14:paraId="704449AA" w14:textId="2ED741D6" w:rsidR="00821AEF" w:rsidRDefault="00821AEF" w:rsidP="00276EE4">
      <w:pPr>
        <w:pStyle w:val="EX"/>
      </w:pPr>
      <w:bookmarkStart w:id="8" w:name="_Ref31651918"/>
      <w:r>
        <w:t>TR 38.807, "</w:t>
      </w:r>
      <w:r w:rsidRPr="00821AEF">
        <w:t>Study on requirements for NR beyond 52.6 GHz</w:t>
      </w:r>
      <w:r>
        <w:t>"</w:t>
      </w:r>
      <w:bookmarkEnd w:id="8"/>
    </w:p>
    <w:p w14:paraId="02656AEC" w14:textId="67890FE3" w:rsidR="005E69AE" w:rsidRPr="004D3578" w:rsidRDefault="00BC4103" w:rsidP="00276EE4">
      <w:pPr>
        <w:pStyle w:val="EX"/>
      </w:pPr>
      <w:bookmarkStart w:id="9" w:name="_Ref31651930"/>
      <w:r w:rsidRPr="00BC4103">
        <w:t>RP-193259</w:t>
      </w:r>
      <w:r>
        <w:t>, "</w:t>
      </w:r>
      <w:r w:rsidRPr="00BC4103">
        <w:t>New SID: Study on supporting NR from 52.6GHz to 71 GHz</w:t>
      </w:r>
      <w:r>
        <w:t>", Intel</w:t>
      </w:r>
      <w:bookmarkEnd w:id="7"/>
      <w:bookmarkEnd w:id="9"/>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0B1C7" w14:textId="77777777" w:rsidR="00FE59EB" w:rsidRDefault="00FE59EB">
      <w:r>
        <w:separator/>
      </w:r>
    </w:p>
  </w:endnote>
  <w:endnote w:type="continuationSeparator" w:id="0">
    <w:p w14:paraId="763A92CF" w14:textId="77777777" w:rsidR="00FE59EB" w:rsidRDefault="00FE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47FE7" w14:textId="77777777" w:rsidR="00FE59EB" w:rsidRDefault="00FE59EB">
      <w:r>
        <w:separator/>
      </w:r>
    </w:p>
  </w:footnote>
  <w:footnote w:type="continuationSeparator" w:id="0">
    <w:p w14:paraId="16BF801C" w14:textId="77777777" w:rsidR="00FE59EB" w:rsidRDefault="00FE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26BD3"/>
    <w:rsid w:val="00033397"/>
    <w:rsid w:val="00040095"/>
    <w:rsid w:val="00046768"/>
    <w:rsid w:val="00051834"/>
    <w:rsid w:val="0005477E"/>
    <w:rsid w:val="00054A22"/>
    <w:rsid w:val="00062023"/>
    <w:rsid w:val="000655A6"/>
    <w:rsid w:val="00080512"/>
    <w:rsid w:val="000A365D"/>
    <w:rsid w:val="000A68F3"/>
    <w:rsid w:val="000B4E6A"/>
    <w:rsid w:val="000B7599"/>
    <w:rsid w:val="000C47C3"/>
    <w:rsid w:val="000D2AB6"/>
    <w:rsid w:val="000D2C4B"/>
    <w:rsid w:val="000D58AB"/>
    <w:rsid w:val="000F42F7"/>
    <w:rsid w:val="000F4BE8"/>
    <w:rsid w:val="000F5D71"/>
    <w:rsid w:val="00104BC6"/>
    <w:rsid w:val="00112D80"/>
    <w:rsid w:val="00114E2C"/>
    <w:rsid w:val="00133525"/>
    <w:rsid w:val="001620A7"/>
    <w:rsid w:val="00162A8A"/>
    <w:rsid w:val="001A1513"/>
    <w:rsid w:val="001A4C42"/>
    <w:rsid w:val="001C21C3"/>
    <w:rsid w:val="001D02C2"/>
    <w:rsid w:val="001F0C1D"/>
    <w:rsid w:val="001F1132"/>
    <w:rsid w:val="001F168B"/>
    <w:rsid w:val="00210943"/>
    <w:rsid w:val="00211302"/>
    <w:rsid w:val="00223E60"/>
    <w:rsid w:val="002347A2"/>
    <w:rsid w:val="00247926"/>
    <w:rsid w:val="00261DE3"/>
    <w:rsid w:val="002675F0"/>
    <w:rsid w:val="00276EE4"/>
    <w:rsid w:val="002B2D3F"/>
    <w:rsid w:val="002B6339"/>
    <w:rsid w:val="002E00EE"/>
    <w:rsid w:val="00301868"/>
    <w:rsid w:val="003172DC"/>
    <w:rsid w:val="003378AE"/>
    <w:rsid w:val="0034052F"/>
    <w:rsid w:val="0034273B"/>
    <w:rsid w:val="0034735C"/>
    <w:rsid w:val="0035462D"/>
    <w:rsid w:val="00357075"/>
    <w:rsid w:val="003650C3"/>
    <w:rsid w:val="00371558"/>
    <w:rsid w:val="003765B8"/>
    <w:rsid w:val="003A0483"/>
    <w:rsid w:val="003B4652"/>
    <w:rsid w:val="003C3971"/>
    <w:rsid w:val="003C4D69"/>
    <w:rsid w:val="003D4522"/>
    <w:rsid w:val="003E2C78"/>
    <w:rsid w:val="003E7753"/>
    <w:rsid w:val="003F07E3"/>
    <w:rsid w:val="00412687"/>
    <w:rsid w:val="00423334"/>
    <w:rsid w:val="0042668D"/>
    <w:rsid w:val="004345EC"/>
    <w:rsid w:val="00443B1F"/>
    <w:rsid w:val="00445952"/>
    <w:rsid w:val="004826A9"/>
    <w:rsid w:val="004837BD"/>
    <w:rsid w:val="004A6B02"/>
    <w:rsid w:val="004B0ECB"/>
    <w:rsid w:val="004C1601"/>
    <w:rsid w:val="004D3578"/>
    <w:rsid w:val="004E213A"/>
    <w:rsid w:val="004E3C97"/>
    <w:rsid w:val="004F0988"/>
    <w:rsid w:val="004F3340"/>
    <w:rsid w:val="004F3E3D"/>
    <w:rsid w:val="004F46DD"/>
    <w:rsid w:val="005204B4"/>
    <w:rsid w:val="0053388B"/>
    <w:rsid w:val="00535773"/>
    <w:rsid w:val="00543E6C"/>
    <w:rsid w:val="00565087"/>
    <w:rsid w:val="0057261C"/>
    <w:rsid w:val="00572E14"/>
    <w:rsid w:val="005930E6"/>
    <w:rsid w:val="005973BE"/>
    <w:rsid w:val="005A5986"/>
    <w:rsid w:val="005B1F1B"/>
    <w:rsid w:val="005C4000"/>
    <w:rsid w:val="005D2E01"/>
    <w:rsid w:val="005D7526"/>
    <w:rsid w:val="005E69AE"/>
    <w:rsid w:val="00602AEA"/>
    <w:rsid w:val="00607E3C"/>
    <w:rsid w:val="00614FDF"/>
    <w:rsid w:val="006246A7"/>
    <w:rsid w:val="0062595A"/>
    <w:rsid w:val="0063543D"/>
    <w:rsid w:val="00647114"/>
    <w:rsid w:val="00662A4B"/>
    <w:rsid w:val="006A323F"/>
    <w:rsid w:val="006B30D0"/>
    <w:rsid w:val="006C0AD3"/>
    <w:rsid w:val="006C3D95"/>
    <w:rsid w:val="006C79D3"/>
    <w:rsid w:val="006E5C86"/>
    <w:rsid w:val="007059D9"/>
    <w:rsid w:val="00713C44"/>
    <w:rsid w:val="00734A5B"/>
    <w:rsid w:val="0074026F"/>
    <w:rsid w:val="007429F6"/>
    <w:rsid w:val="00744E76"/>
    <w:rsid w:val="00752198"/>
    <w:rsid w:val="00753881"/>
    <w:rsid w:val="007615CA"/>
    <w:rsid w:val="00774DA4"/>
    <w:rsid w:val="00781F0F"/>
    <w:rsid w:val="007851C1"/>
    <w:rsid w:val="007B462B"/>
    <w:rsid w:val="007B600E"/>
    <w:rsid w:val="007D5A1C"/>
    <w:rsid w:val="007E6293"/>
    <w:rsid w:val="007F0F4A"/>
    <w:rsid w:val="008028A4"/>
    <w:rsid w:val="008038C2"/>
    <w:rsid w:val="00820B25"/>
    <w:rsid w:val="00820E0F"/>
    <w:rsid w:val="00821AEF"/>
    <w:rsid w:val="00826E3B"/>
    <w:rsid w:val="00830747"/>
    <w:rsid w:val="00843B15"/>
    <w:rsid w:val="008569D0"/>
    <w:rsid w:val="008768CA"/>
    <w:rsid w:val="008826B0"/>
    <w:rsid w:val="008C1634"/>
    <w:rsid w:val="008C384C"/>
    <w:rsid w:val="008E7986"/>
    <w:rsid w:val="0090271F"/>
    <w:rsid w:val="00902E23"/>
    <w:rsid w:val="009114D7"/>
    <w:rsid w:val="0091348E"/>
    <w:rsid w:val="00915D75"/>
    <w:rsid w:val="00917CCB"/>
    <w:rsid w:val="00924DAC"/>
    <w:rsid w:val="00926F97"/>
    <w:rsid w:val="009426F4"/>
    <w:rsid w:val="00942EC2"/>
    <w:rsid w:val="009C2C1B"/>
    <w:rsid w:val="009F37B7"/>
    <w:rsid w:val="009F5E43"/>
    <w:rsid w:val="00A03460"/>
    <w:rsid w:val="00A07446"/>
    <w:rsid w:val="00A10F02"/>
    <w:rsid w:val="00A164B4"/>
    <w:rsid w:val="00A26956"/>
    <w:rsid w:val="00A33E80"/>
    <w:rsid w:val="00A37271"/>
    <w:rsid w:val="00A53724"/>
    <w:rsid w:val="00A5526E"/>
    <w:rsid w:val="00A73129"/>
    <w:rsid w:val="00A82346"/>
    <w:rsid w:val="00A92BA1"/>
    <w:rsid w:val="00AC135F"/>
    <w:rsid w:val="00AC54B7"/>
    <w:rsid w:val="00AC6BC6"/>
    <w:rsid w:val="00AE3797"/>
    <w:rsid w:val="00AF36D6"/>
    <w:rsid w:val="00AF4359"/>
    <w:rsid w:val="00AF5752"/>
    <w:rsid w:val="00B06539"/>
    <w:rsid w:val="00B15449"/>
    <w:rsid w:val="00B60B51"/>
    <w:rsid w:val="00B83171"/>
    <w:rsid w:val="00B913A1"/>
    <w:rsid w:val="00B93086"/>
    <w:rsid w:val="00BA19ED"/>
    <w:rsid w:val="00BA300B"/>
    <w:rsid w:val="00BA4B8D"/>
    <w:rsid w:val="00BA59E2"/>
    <w:rsid w:val="00BC0F7D"/>
    <w:rsid w:val="00BC4103"/>
    <w:rsid w:val="00BE2A72"/>
    <w:rsid w:val="00BE3255"/>
    <w:rsid w:val="00BE3B9C"/>
    <w:rsid w:val="00BF128E"/>
    <w:rsid w:val="00C02C5C"/>
    <w:rsid w:val="00C1496A"/>
    <w:rsid w:val="00C24837"/>
    <w:rsid w:val="00C33079"/>
    <w:rsid w:val="00C45231"/>
    <w:rsid w:val="00C72833"/>
    <w:rsid w:val="00C80F1D"/>
    <w:rsid w:val="00C83BD4"/>
    <w:rsid w:val="00C93F40"/>
    <w:rsid w:val="00C9693D"/>
    <w:rsid w:val="00CA3D0C"/>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7E00"/>
    <w:rsid w:val="00D9134D"/>
    <w:rsid w:val="00DA7A03"/>
    <w:rsid w:val="00DB1818"/>
    <w:rsid w:val="00DC309B"/>
    <w:rsid w:val="00DC4DA2"/>
    <w:rsid w:val="00DC7727"/>
    <w:rsid w:val="00DD4C17"/>
    <w:rsid w:val="00DF2B1F"/>
    <w:rsid w:val="00DF6189"/>
    <w:rsid w:val="00DF62CD"/>
    <w:rsid w:val="00E068AE"/>
    <w:rsid w:val="00E16509"/>
    <w:rsid w:val="00E44582"/>
    <w:rsid w:val="00E52814"/>
    <w:rsid w:val="00E72324"/>
    <w:rsid w:val="00E72ABE"/>
    <w:rsid w:val="00E77645"/>
    <w:rsid w:val="00E84530"/>
    <w:rsid w:val="00EB22F4"/>
    <w:rsid w:val="00EC3517"/>
    <w:rsid w:val="00EC454E"/>
    <w:rsid w:val="00EC4A25"/>
    <w:rsid w:val="00ED2E9E"/>
    <w:rsid w:val="00EE5AA7"/>
    <w:rsid w:val="00F025A2"/>
    <w:rsid w:val="00F04712"/>
    <w:rsid w:val="00F064C8"/>
    <w:rsid w:val="00F07B00"/>
    <w:rsid w:val="00F20DA5"/>
    <w:rsid w:val="00F21311"/>
    <w:rsid w:val="00F22EC7"/>
    <w:rsid w:val="00F325C8"/>
    <w:rsid w:val="00F33616"/>
    <w:rsid w:val="00F62AEB"/>
    <w:rsid w:val="00F653B8"/>
    <w:rsid w:val="00F70647"/>
    <w:rsid w:val="00FA1266"/>
    <w:rsid w:val="00FC1192"/>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5</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20</cp:revision>
  <cp:lastPrinted>2019-02-25T14:05:00Z</cp:lastPrinted>
  <dcterms:created xsi:type="dcterms:W3CDTF">2020-10-19T15:00:00Z</dcterms:created>
  <dcterms:modified xsi:type="dcterms:W3CDTF">2020-10-23T18:01:00Z</dcterms:modified>
  <cp:category/>
</cp:coreProperties>
</file>